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F4BA" w14:textId="3C9ABEA7" w:rsidR="0091574F" w:rsidRDefault="0091574F" w:rsidP="00DA7F33">
      <w:pPr>
        <w:pStyle w:val="Heading1"/>
      </w:pPr>
      <w:r w:rsidRPr="0091574F">
        <w:t>PM Metrics That Matter in Hedge Funds: KPIs for High-Stakes Projects</w:t>
      </w:r>
    </w:p>
    <w:p w14:paraId="3E8EF8A6" w14:textId="349CE4BF" w:rsidR="00DA7F33" w:rsidRDefault="00DA7F33" w:rsidP="0091574F">
      <w:pPr>
        <w:rPr>
          <w:b/>
          <w:bCs/>
        </w:rPr>
      </w:pPr>
      <w:r w:rsidRPr="00DA7F33">
        <w:rPr>
          <w:b/>
          <w:bCs/>
        </w:rPr>
        <w:t>Published on 22 April 2025 at 14:19</w:t>
      </w:r>
    </w:p>
    <w:p w14:paraId="3623486F" w14:textId="1CC656D2" w:rsidR="00DA7F33" w:rsidRPr="0091574F" w:rsidRDefault="00DA7F33" w:rsidP="0091574F">
      <w:pPr>
        <w:rPr>
          <w:b/>
          <w:bCs/>
        </w:rPr>
      </w:pPr>
      <w:r>
        <w:rPr>
          <w:b/>
          <w:bCs/>
        </w:rPr>
        <w:t>Author: Kimberly Wiethoff</w:t>
      </w:r>
    </w:p>
    <w:p w14:paraId="1C385026" w14:textId="77777777" w:rsidR="0091574F" w:rsidRPr="0091574F" w:rsidRDefault="0091574F" w:rsidP="0091574F">
      <w:r w:rsidRPr="0091574F">
        <w:t>In hedge funds, every second counts—and so does every decision. Project managers operating in this environment need to go beyond task completion and sprint velocity. They must prove the impact of their projects in real business terms: performance, compliance, efficiency, and ROI.</w:t>
      </w:r>
    </w:p>
    <w:p w14:paraId="37678DB5" w14:textId="77777777" w:rsidR="0091574F" w:rsidRPr="0091574F" w:rsidRDefault="0091574F" w:rsidP="0091574F">
      <w:r w:rsidRPr="0091574F">
        <w:t>The challenge? Traditional project metrics often miss the mark in fast-paced financial services. If you're managing hedge fund initiatives—whether in trading tech, data systems, or AI—you need KPIs that speak the language of finance, risk, and results.</w:t>
      </w:r>
    </w:p>
    <w:p w14:paraId="1AB432AC" w14:textId="77777777" w:rsidR="0091574F" w:rsidRPr="0091574F" w:rsidRDefault="0091574F" w:rsidP="0091574F">
      <w:r w:rsidRPr="0091574F">
        <w:t>Here are the key performance metrics that truly matter in hedge fund project management.</w:t>
      </w:r>
    </w:p>
    <w:p w14:paraId="0E08A2C4" w14:textId="77777777" w:rsidR="0091574F" w:rsidRPr="0091574F" w:rsidRDefault="0091574F" w:rsidP="0091574F">
      <w:r w:rsidRPr="0091574F">
        <w:pict w14:anchorId="75A3AD2F">
          <v:rect id="_x0000_i1092" style="width:0;height:1.5pt" o:hralign="center" o:hrstd="t" o:hr="t" fillcolor="#a0a0a0" stroked="f"/>
        </w:pict>
      </w:r>
    </w:p>
    <w:p w14:paraId="7C58E81B" w14:textId="77777777" w:rsidR="0091574F" w:rsidRPr="0091574F" w:rsidRDefault="0091574F" w:rsidP="00DA7F33">
      <w:pPr>
        <w:pStyle w:val="Heading2"/>
      </w:pPr>
      <w:r w:rsidRPr="0091574F">
        <w:rPr>
          <w:rFonts w:ascii="Segoe UI Emoji" w:hAnsi="Segoe UI Emoji" w:cs="Segoe UI Emoji"/>
        </w:rPr>
        <w:t>🎯</w:t>
      </w:r>
      <w:r w:rsidRPr="0091574F">
        <w:t xml:space="preserve"> 1. Time-to-Impact (TTI)</w:t>
      </w:r>
    </w:p>
    <w:p w14:paraId="79CD48C5" w14:textId="77777777" w:rsidR="0091574F" w:rsidRPr="0091574F" w:rsidRDefault="0091574F" w:rsidP="0091574F">
      <w:r w:rsidRPr="0091574F">
        <w:t xml:space="preserve">While Time-to-Market is important, hedge funds care more about </w:t>
      </w:r>
      <w:r w:rsidRPr="0091574F">
        <w:rPr>
          <w:b/>
          <w:bCs/>
        </w:rPr>
        <w:t>how quickly a project delivers measurable business value</w:t>
      </w:r>
      <w:r w:rsidRPr="0091574F">
        <w:t>.</w:t>
      </w:r>
    </w:p>
    <w:p w14:paraId="536D9C3C" w14:textId="77777777" w:rsidR="0091574F" w:rsidRPr="0091574F" w:rsidRDefault="0091574F" w:rsidP="0091574F">
      <w:pPr>
        <w:numPr>
          <w:ilvl w:val="0"/>
          <w:numId w:val="1"/>
        </w:numPr>
      </w:pPr>
      <w:r w:rsidRPr="0091574F">
        <w:t>Example: “The new reporting system reduced end-of-day processing by 40% within the first week of launch.”</w:t>
      </w:r>
    </w:p>
    <w:p w14:paraId="2F0F8E94" w14:textId="77777777" w:rsidR="0091574F" w:rsidRPr="0091574F" w:rsidRDefault="0091574F" w:rsidP="0091574F">
      <w:r w:rsidRPr="0091574F">
        <w:pict w14:anchorId="2337DEBC">
          <v:rect id="_x0000_i1093" style="width:0;height:1.5pt" o:hralign="center" o:hrstd="t" o:hr="t" fillcolor="#a0a0a0" stroked="f"/>
        </w:pict>
      </w:r>
    </w:p>
    <w:p w14:paraId="02DD8302" w14:textId="77777777" w:rsidR="0091574F" w:rsidRPr="0091574F" w:rsidRDefault="0091574F" w:rsidP="00DA7F33">
      <w:pPr>
        <w:pStyle w:val="Heading2"/>
      </w:pPr>
      <w:r w:rsidRPr="0091574F">
        <w:rPr>
          <w:rFonts w:ascii="Segoe UI Emoji" w:hAnsi="Segoe UI Emoji" w:cs="Segoe UI Emoji"/>
        </w:rPr>
        <w:t>⚖️</w:t>
      </w:r>
      <w:r w:rsidRPr="0091574F">
        <w:t xml:space="preserve"> 2. Operational Risk Reduction</w:t>
      </w:r>
    </w:p>
    <w:p w14:paraId="06F7A2E5" w14:textId="77777777" w:rsidR="0091574F" w:rsidRPr="0091574F" w:rsidRDefault="0091574F" w:rsidP="0091574F">
      <w:r w:rsidRPr="0091574F">
        <w:t>Risk is everything in capital markets. PMs should track how their projects:</w:t>
      </w:r>
    </w:p>
    <w:p w14:paraId="6530E363" w14:textId="77777777" w:rsidR="0091574F" w:rsidRPr="0091574F" w:rsidRDefault="0091574F" w:rsidP="0091574F">
      <w:pPr>
        <w:numPr>
          <w:ilvl w:val="0"/>
          <w:numId w:val="2"/>
        </w:numPr>
      </w:pPr>
      <w:r w:rsidRPr="0091574F">
        <w:t>Eliminate manual steps</w:t>
      </w:r>
    </w:p>
    <w:p w14:paraId="1F9046A4" w14:textId="77777777" w:rsidR="0091574F" w:rsidRPr="0091574F" w:rsidRDefault="0091574F" w:rsidP="0091574F">
      <w:pPr>
        <w:numPr>
          <w:ilvl w:val="0"/>
          <w:numId w:val="2"/>
        </w:numPr>
      </w:pPr>
      <w:r w:rsidRPr="0091574F">
        <w:t>Automate error-prone tasks</w:t>
      </w:r>
    </w:p>
    <w:p w14:paraId="7CF2CB87" w14:textId="77777777" w:rsidR="0091574F" w:rsidRPr="0091574F" w:rsidRDefault="0091574F" w:rsidP="0091574F">
      <w:pPr>
        <w:numPr>
          <w:ilvl w:val="0"/>
          <w:numId w:val="2"/>
        </w:numPr>
      </w:pPr>
      <w:r w:rsidRPr="0091574F">
        <w:t>Improve system resilience and audit readiness</w:t>
      </w:r>
    </w:p>
    <w:p w14:paraId="097704F7" w14:textId="77777777" w:rsidR="0091574F" w:rsidRPr="0091574F" w:rsidRDefault="0091574F" w:rsidP="0091574F">
      <w:r w:rsidRPr="0091574F">
        <w:t>Metrics: Number of reconciliations automated, reduction in trade breaks, uptime guarantees, failover testing success.</w:t>
      </w:r>
    </w:p>
    <w:p w14:paraId="36062237" w14:textId="77777777" w:rsidR="0091574F" w:rsidRPr="0091574F" w:rsidRDefault="0091574F" w:rsidP="0091574F">
      <w:r w:rsidRPr="0091574F">
        <w:pict w14:anchorId="3168931C">
          <v:rect id="_x0000_i1094" style="width:0;height:1.5pt" o:hralign="center" o:hrstd="t" o:hr="t" fillcolor="#a0a0a0" stroked="f"/>
        </w:pict>
      </w:r>
    </w:p>
    <w:p w14:paraId="245B7172" w14:textId="77777777" w:rsidR="0091574F" w:rsidRPr="0091574F" w:rsidRDefault="0091574F" w:rsidP="00DA7F33">
      <w:pPr>
        <w:pStyle w:val="Heading2"/>
      </w:pPr>
      <w:r w:rsidRPr="0091574F">
        <w:rPr>
          <w:rFonts w:ascii="Segoe UI Emoji" w:hAnsi="Segoe UI Emoji" w:cs="Segoe UI Emoji"/>
        </w:rPr>
        <w:lastRenderedPageBreak/>
        <w:t>💹</w:t>
      </w:r>
      <w:r w:rsidRPr="0091574F">
        <w:t xml:space="preserve"> 3. Alpha-Enhancing Enablement</w:t>
      </w:r>
    </w:p>
    <w:p w14:paraId="631BF79B" w14:textId="77777777" w:rsidR="0091574F" w:rsidRPr="0091574F" w:rsidRDefault="0091574F" w:rsidP="0091574F">
      <w:r w:rsidRPr="0091574F">
        <w:t>Projects that indirectly boost fund performance—like faster execution or better analytics—should be linked to performance enhancement.</w:t>
      </w:r>
    </w:p>
    <w:p w14:paraId="42F6E34E" w14:textId="77777777" w:rsidR="0091574F" w:rsidRPr="0091574F" w:rsidRDefault="0091574F" w:rsidP="0091574F">
      <w:pPr>
        <w:numPr>
          <w:ilvl w:val="0"/>
          <w:numId w:val="3"/>
        </w:numPr>
      </w:pPr>
      <w:r w:rsidRPr="0091574F">
        <w:t>Did the new system decrease trade latency?</w:t>
      </w:r>
    </w:p>
    <w:p w14:paraId="147AF3B1" w14:textId="77777777" w:rsidR="0091574F" w:rsidRPr="0091574F" w:rsidRDefault="0091574F" w:rsidP="0091574F">
      <w:pPr>
        <w:numPr>
          <w:ilvl w:val="0"/>
          <w:numId w:val="3"/>
        </w:numPr>
      </w:pPr>
      <w:r w:rsidRPr="0091574F">
        <w:t>Did a new model improve forecast accuracy?</w:t>
      </w:r>
    </w:p>
    <w:p w14:paraId="4BE3844C" w14:textId="77777777" w:rsidR="0091574F" w:rsidRPr="0091574F" w:rsidRDefault="0091574F" w:rsidP="0091574F">
      <w:r w:rsidRPr="0091574F">
        <w:t xml:space="preserve">Even if you don’t control the trades, your project may </w:t>
      </w:r>
      <w:r w:rsidRPr="0091574F">
        <w:rPr>
          <w:b/>
          <w:bCs/>
        </w:rPr>
        <w:t>enable alpha</w:t>
      </w:r>
      <w:r w:rsidRPr="0091574F">
        <w:t>.</w:t>
      </w:r>
    </w:p>
    <w:p w14:paraId="72573DE2" w14:textId="77777777" w:rsidR="0091574F" w:rsidRPr="0091574F" w:rsidRDefault="0091574F" w:rsidP="0091574F">
      <w:r w:rsidRPr="0091574F">
        <w:pict w14:anchorId="13E07796">
          <v:rect id="_x0000_i1095" style="width:0;height:1.5pt" o:hralign="center" o:hrstd="t" o:hr="t" fillcolor="#a0a0a0" stroked="f"/>
        </w:pict>
      </w:r>
    </w:p>
    <w:p w14:paraId="17EE04FC" w14:textId="77777777" w:rsidR="0091574F" w:rsidRPr="0091574F" w:rsidRDefault="0091574F" w:rsidP="00DA7F33">
      <w:pPr>
        <w:pStyle w:val="Heading2"/>
      </w:pPr>
      <w:r w:rsidRPr="0091574F">
        <w:rPr>
          <w:rFonts w:ascii="Segoe UI Emoji" w:hAnsi="Segoe UI Emoji" w:cs="Segoe UI Emoji"/>
        </w:rPr>
        <w:t>🧠</w:t>
      </w:r>
      <w:r w:rsidRPr="0091574F">
        <w:t xml:space="preserve"> 4. Data Accuracy &amp; Accessibility</w:t>
      </w:r>
    </w:p>
    <w:p w14:paraId="2141F105" w14:textId="77777777" w:rsidR="0091574F" w:rsidRPr="0091574F" w:rsidRDefault="0091574F" w:rsidP="0091574F">
      <w:r w:rsidRPr="0091574F">
        <w:t>With so much AI and data science in hedge fund operations, PMs should track improvements in:</w:t>
      </w:r>
    </w:p>
    <w:p w14:paraId="79C80C81" w14:textId="77777777" w:rsidR="0091574F" w:rsidRPr="0091574F" w:rsidRDefault="0091574F" w:rsidP="0091574F">
      <w:pPr>
        <w:numPr>
          <w:ilvl w:val="0"/>
          <w:numId w:val="4"/>
        </w:numPr>
      </w:pPr>
      <w:r w:rsidRPr="0091574F">
        <w:t>Data ingestion speed</w:t>
      </w:r>
    </w:p>
    <w:p w14:paraId="0A9499D7" w14:textId="77777777" w:rsidR="0091574F" w:rsidRPr="0091574F" w:rsidRDefault="0091574F" w:rsidP="0091574F">
      <w:pPr>
        <w:numPr>
          <w:ilvl w:val="0"/>
          <w:numId w:val="4"/>
        </w:numPr>
      </w:pPr>
      <w:r w:rsidRPr="0091574F">
        <w:t>Model run time</w:t>
      </w:r>
    </w:p>
    <w:p w14:paraId="01DE9305" w14:textId="77777777" w:rsidR="0091574F" w:rsidRPr="0091574F" w:rsidRDefault="0091574F" w:rsidP="0091574F">
      <w:pPr>
        <w:numPr>
          <w:ilvl w:val="0"/>
          <w:numId w:val="4"/>
        </w:numPr>
      </w:pPr>
      <w:r w:rsidRPr="0091574F">
        <w:t>Accessibility for quants or analysts</w:t>
      </w:r>
    </w:p>
    <w:p w14:paraId="52BAC5FC" w14:textId="77777777" w:rsidR="0091574F" w:rsidRPr="0091574F" w:rsidRDefault="0091574F" w:rsidP="0091574F">
      <w:r w:rsidRPr="0091574F">
        <w:t>Metrics: % of clean data available in real time, reduction in data-related bugs, latency improvements in dashboards.</w:t>
      </w:r>
    </w:p>
    <w:p w14:paraId="624A43F7" w14:textId="77777777" w:rsidR="0091574F" w:rsidRPr="0091574F" w:rsidRDefault="0091574F" w:rsidP="0091574F">
      <w:r w:rsidRPr="0091574F">
        <w:pict w14:anchorId="255863E0">
          <v:rect id="_x0000_i1096" style="width:0;height:1.5pt" o:hralign="center" o:hrstd="t" o:hr="t" fillcolor="#a0a0a0" stroked="f"/>
        </w:pict>
      </w:r>
    </w:p>
    <w:p w14:paraId="561E4F65" w14:textId="77777777" w:rsidR="0091574F" w:rsidRPr="0091574F" w:rsidRDefault="0091574F" w:rsidP="00DA7F33">
      <w:pPr>
        <w:pStyle w:val="Heading2"/>
      </w:pPr>
      <w:r w:rsidRPr="0091574F">
        <w:rPr>
          <w:rFonts w:ascii="Segoe UI Emoji" w:hAnsi="Segoe UI Emoji" w:cs="Segoe UI Emoji"/>
        </w:rPr>
        <w:t>💼</w:t>
      </w:r>
      <w:r w:rsidRPr="0091574F">
        <w:t xml:space="preserve"> 5. Compliance &amp; Audit Readiness</w:t>
      </w:r>
    </w:p>
    <w:p w14:paraId="63D8A869" w14:textId="77777777" w:rsidR="0091574F" w:rsidRPr="0091574F" w:rsidRDefault="0091574F" w:rsidP="0091574F">
      <w:r w:rsidRPr="0091574F">
        <w:t>The best hedge fund projects align with regulations like SEC, SOC 1/SOC 2, MiFID II, and GDPR. Track:</w:t>
      </w:r>
    </w:p>
    <w:p w14:paraId="09C1B25E" w14:textId="77777777" w:rsidR="0091574F" w:rsidRPr="0091574F" w:rsidRDefault="0091574F" w:rsidP="0091574F">
      <w:pPr>
        <w:numPr>
          <w:ilvl w:val="0"/>
          <w:numId w:val="5"/>
        </w:numPr>
      </w:pPr>
      <w:r w:rsidRPr="0091574F">
        <w:t>Time to deliver audit artifacts</w:t>
      </w:r>
    </w:p>
    <w:p w14:paraId="66E47B0A" w14:textId="77777777" w:rsidR="0091574F" w:rsidRPr="0091574F" w:rsidRDefault="0091574F" w:rsidP="0091574F">
      <w:pPr>
        <w:numPr>
          <w:ilvl w:val="0"/>
          <w:numId w:val="5"/>
        </w:numPr>
      </w:pPr>
      <w:r w:rsidRPr="0091574F">
        <w:t>Number of unresolved findings</w:t>
      </w:r>
    </w:p>
    <w:p w14:paraId="665125FE" w14:textId="77777777" w:rsidR="0091574F" w:rsidRPr="0091574F" w:rsidRDefault="0091574F" w:rsidP="0091574F">
      <w:pPr>
        <w:numPr>
          <w:ilvl w:val="0"/>
          <w:numId w:val="5"/>
        </w:numPr>
      </w:pPr>
      <w:r w:rsidRPr="0091574F">
        <w:t>Compliance sign-off timeline</w:t>
      </w:r>
    </w:p>
    <w:p w14:paraId="522B68AC" w14:textId="77777777" w:rsidR="0091574F" w:rsidRPr="0091574F" w:rsidRDefault="0091574F" w:rsidP="0091574F">
      <w:r w:rsidRPr="0091574F">
        <w:t xml:space="preserve">This isn’t just about governance—it’s about </w:t>
      </w:r>
      <w:r w:rsidRPr="0091574F">
        <w:rPr>
          <w:b/>
          <w:bCs/>
        </w:rPr>
        <w:t>project completeness and credibility</w:t>
      </w:r>
      <w:r w:rsidRPr="0091574F">
        <w:t>.</w:t>
      </w:r>
    </w:p>
    <w:p w14:paraId="665B81CC" w14:textId="77777777" w:rsidR="0091574F" w:rsidRPr="0091574F" w:rsidRDefault="0091574F" w:rsidP="0091574F">
      <w:r w:rsidRPr="0091574F">
        <w:pict w14:anchorId="4AFC4C8F">
          <v:rect id="_x0000_i1097" style="width:0;height:1.5pt" o:hralign="center" o:hrstd="t" o:hr="t" fillcolor="#a0a0a0" stroked="f"/>
        </w:pict>
      </w:r>
    </w:p>
    <w:p w14:paraId="5F8F5DDA" w14:textId="77777777" w:rsidR="0091574F" w:rsidRPr="0091574F" w:rsidRDefault="0091574F" w:rsidP="00DA7F33">
      <w:pPr>
        <w:pStyle w:val="Heading2"/>
      </w:pPr>
      <w:r w:rsidRPr="0091574F">
        <w:rPr>
          <w:rFonts w:ascii="Segoe UI Emoji" w:hAnsi="Segoe UI Emoji" w:cs="Segoe UI Emoji"/>
        </w:rPr>
        <w:t>👥</w:t>
      </w:r>
      <w:r w:rsidRPr="0091574F">
        <w:t xml:space="preserve"> 6. Stakeholder Satisfaction &amp; Adoption</w:t>
      </w:r>
    </w:p>
    <w:p w14:paraId="1A105FDF" w14:textId="77777777" w:rsidR="0091574F" w:rsidRPr="0091574F" w:rsidRDefault="0091574F" w:rsidP="0091574F">
      <w:r w:rsidRPr="0091574F">
        <w:t>PMs must measure adoption from key users—traders, portfolio managers, compliance, and IR teams.</w:t>
      </w:r>
    </w:p>
    <w:p w14:paraId="013AA22A" w14:textId="77777777" w:rsidR="0091574F" w:rsidRPr="0091574F" w:rsidRDefault="0091574F" w:rsidP="0091574F">
      <w:pPr>
        <w:numPr>
          <w:ilvl w:val="0"/>
          <w:numId w:val="6"/>
        </w:numPr>
      </w:pPr>
      <w:r w:rsidRPr="0091574F">
        <w:lastRenderedPageBreak/>
        <w:t>NPS or stakeholder satisfaction scores</w:t>
      </w:r>
    </w:p>
    <w:p w14:paraId="416BE8EB" w14:textId="77777777" w:rsidR="0091574F" w:rsidRPr="0091574F" w:rsidRDefault="0091574F" w:rsidP="0091574F">
      <w:pPr>
        <w:numPr>
          <w:ilvl w:val="0"/>
          <w:numId w:val="6"/>
        </w:numPr>
      </w:pPr>
      <w:r w:rsidRPr="0091574F">
        <w:t>% of users using the new system daily</w:t>
      </w:r>
    </w:p>
    <w:p w14:paraId="63D35A09" w14:textId="77777777" w:rsidR="0091574F" w:rsidRPr="0091574F" w:rsidRDefault="0091574F" w:rsidP="0091574F">
      <w:pPr>
        <w:numPr>
          <w:ilvl w:val="0"/>
          <w:numId w:val="6"/>
        </w:numPr>
        <w:rPr>
          <w:b/>
          <w:bCs/>
        </w:rPr>
      </w:pPr>
      <w:r w:rsidRPr="0091574F">
        <w:rPr>
          <w:b/>
          <w:bCs/>
        </w:rPr>
        <w:t>of manual workarounds eliminated</w:t>
      </w:r>
    </w:p>
    <w:p w14:paraId="3E31E855" w14:textId="77777777" w:rsidR="0091574F" w:rsidRPr="0091574F" w:rsidRDefault="0091574F" w:rsidP="0091574F">
      <w:r w:rsidRPr="0091574F">
        <w:t>Adoption = success. Track it.</w:t>
      </w:r>
    </w:p>
    <w:p w14:paraId="1BAACF49" w14:textId="77777777" w:rsidR="0091574F" w:rsidRPr="0091574F" w:rsidRDefault="0091574F" w:rsidP="0091574F">
      <w:r w:rsidRPr="0091574F">
        <w:pict w14:anchorId="4C11EF07">
          <v:rect id="_x0000_i1098" style="width:0;height:1.5pt" o:hralign="center" o:hrstd="t" o:hr="t" fillcolor="#a0a0a0" stroked="f"/>
        </w:pict>
      </w:r>
    </w:p>
    <w:p w14:paraId="02DEE529" w14:textId="77777777" w:rsidR="0091574F" w:rsidRPr="0091574F" w:rsidRDefault="0091574F" w:rsidP="00DA7F33">
      <w:pPr>
        <w:pStyle w:val="Heading2"/>
      </w:pPr>
      <w:r w:rsidRPr="0091574F">
        <w:rPr>
          <w:rFonts w:ascii="Segoe UI Emoji" w:hAnsi="Segoe UI Emoji" w:cs="Segoe UI Emoji"/>
        </w:rPr>
        <w:t>🔄</w:t>
      </w:r>
      <w:r w:rsidRPr="0091574F">
        <w:t xml:space="preserve"> 7. Project Velocity + Value Delivery</w:t>
      </w:r>
    </w:p>
    <w:p w14:paraId="3C0A0DDE" w14:textId="77777777" w:rsidR="0091574F" w:rsidRPr="0091574F" w:rsidRDefault="0091574F" w:rsidP="0091574F">
      <w:r w:rsidRPr="0091574F">
        <w:t>Agile metrics like velocity and burn-down rates matter—but only when tied to value. Instead of just “70 story points,” focus on:</w:t>
      </w:r>
    </w:p>
    <w:p w14:paraId="68C2CB6D" w14:textId="77777777" w:rsidR="0091574F" w:rsidRPr="0091574F" w:rsidRDefault="0091574F" w:rsidP="0091574F">
      <w:pPr>
        <w:numPr>
          <w:ilvl w:val="0"/>
          <w:numId w:val="7"/>
        </w:numPr>
      </w:pPr>
      <w:r w:rsidRPr="0091574F">
        <w:t>Features delivered that map to strategic objectives</w:t>
      </w:r>
    </w:p>
    <w:p w14:paraId="1402F3E9" w14:textId="77777777" w:rsidR="0091574F" w:rsidRPr="0091574F" w:rsidRDefault="0091574F" w:rsidP="0091574F">
      <w:pPr>
        <w:numPr>
          <w:ilvl w:val="0"/>
          <w:numId w:val="7"/>
        </w:numPr>
      </w:pPr>
      <w:r w:rsidRPr="0091574F">
        <w:t>Progress against OKRs or roadmap themes</w:t>
      </w:r>
    </w:p>
    <w:p w14:paraId="5053E6EB" w14:textId="77777777" w:rsidR="0091574F" w:rsidRPr="0091574F" w:rsidRDefault="0091574F" w:rsidP="0091574F">
      <w:r w:rsidRPr="0091574F">
        <w:pict w14:anchorId="670BBAA7">
          <v:rect id="_x0000_i1099" style="width:0;height:1.5pt" o:hralign="center" o:hrstd="t" o:hr="t" fillcolor="#a0a0a0" stroked="f"/>
        </w:pict>
      </w:r>
    </w:p>
    <w:p w14:paraId="3DCEA4D5" w14:textId="77777777" w:rsidR="0091574F" w:rsidRPr="0091574F" w:rsidRDefault="0091574F" w:rsidP="00DA7F33">
      <w:pPr>
        <w:pStyle w:val="Heading2"/>
      </w:pPr>
      <w:r w:rsidRPr="0091574F">
        <w:rPr>
          <w:rFonts w:ascii="Segoe UI Emoji" w:hAnsi="Segoe UI Emoji" w:cs="Segoe UI Emoji"/>
        </w:rPr>
        <w:t>🧩</w:t>
      </w:r>
      <w:r w:rsidRPr="0091574F">
        <w:t xml:space="preserve"> Final Thought</w:t>
      </w:r>
    </w:p>
    <w:p w14:paraId="3B964297" w14:textId="77777777" w:rsidR="0091574F" w:rsidRPr="0091574F" w:rsidRDefault="0091574F" w:rsidP="0091574F">
      <w:r w:rsidRPr="0091574F">
        <w:t>In hedge funds, PMs must think like strategists—not just schedulers. Your metrics should reflect how your project enables smarter decisions, faster execution, stronger compliance, and ultimately, better fund performance. If your KPIs aren’t speaking the same language as your portfolio manager or CTO, it’s time to realign.</w:t>
      </w:r>
    </w:p>
    <w:p w14:paraId="0E857213" w14:textId="7DFC02DD" w:rsidR="0091574F" w:rsidRPr="0091574F" w:rsidRDefault="0091574F" w:rsidP="0091574F">
      <w:r w:rsidRPr="0091574F">
        <w:t xml:space="preserve">Remember: </w:t>
      </w:r>
      <w:r w:rsidRPr="0091574F">
        <w:rPr>
          <w:b/>
          <w:bCs/>
        </w:rPr>
        <w:t>It’s not just about what you build</w:t>
      </w:r>
      <w:r w:rsidR="00DA7F33">
        <w:rPr>
          <w:b/>
          <w:bCs/>
        </w:rPr>
        <w:t xml:space="preserve"> - </w:t>
      </w:r>
      <w:r w:rsidRPr="0091574F">
        <w:rPr>
          <w:b/>
          <w:bCs/>
        </w:rPr>
        <w:t>it’s about the value it creates.</w:t>
      </w:r>
    </w:p>
    <w:p w14:paraId="19119806" w14:textId="77777777" w:rsidR="00DA7F33" w:rsidRDefault="00DA7F33" w:rsidP="0091574F"/>
    <w:p w14:paraId="753A9BFA" w14:textId="0C2F991D" w:rsidR="0091574F" w:rsidRPr="0091574F" w:rsidRDefault="0091574F" w:rsidP="0091574F">
      <w:r w:rsidRPr="0091574F">
        <w:t>#HedgeFundPM #ProjectManagement #CapitalMarkets #FintechProjects #DataDrivenPM #PMMetrics #FinancialServices #AgileFinance #AlphaGeneration #RiskReduction #TechLeadership</w:t>
      </w:r>
    </w:p>
    <w:p w14:paraId="2A4FC839" w14:textId="77777777" w:rsidR="0091574F" w:rsidRDefault="0091574F"/>
    <w:sectPr w:rsidR="00915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02A7"/>
    <w:multiLevelType w:val="multilevel"/>
    <w:tmpl w:val="C168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555BA"/>
    <w:multiLevelType w:val="multilevel"/>
    <w:tmpl w:val="127A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25FF4"/>
    <w:multiLevelType w:val="multilevel"/>
    <w:tmpl w:val="9C12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3A7716"/>
    <w:multiLevelType w:val="multilevel"/>
    <w:tmpl w:val="9CC8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283AB6"/>
    <w:multiLevelType w:val="multilevel"/>
    <w:tmpl w:val="4A5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3356B"/>
    <w:multiLevelType w:val="multilevel"/>
    <w:tmpl w:val="29DC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50069"/>
    <w:multiLevelType w:val="multilevel"/>
    <w:tmpl w:val="E186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496335">
    <w:abstractNumId w:val="2"/>
  </w:num>
  <w:num w:numId="2" w16cid:durableId="1220630284">
    <w:abstractNumId w:val="5"/>
  </w:num>
  <w:num w:numId="3" w16cid:durableId="1643777117">
    <w:abstractNumId w:val="1"/>
  </w:num>
  <w:num w:numId="4" w16cid:durableId="75252125">
    <w:abstractNumId w:val="0"/>
  </w:num>
  <w:num w:numId="5" w16cid:durableId="1128014185">
    <w:abstractNumId w:val="4"/>
  </w:num>
  <w:num w:numId="6" w16cid:durableId="401294343">
    <w:abstractNumId w:val="3"/>
  </w:num>
  <w:num w:numId="7" w16cid:durableId="339507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F"/>
    <w:rsid w:val="0091574F"/>
    <w:rsid w:val="00DA7F33"/>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C7890"/>
  <w15:chartTrackingRefBased/>
  <w15:docId w15:val="{FC71B155-6BF5-4DF6-A55F-EAE47F84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7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157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15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4F"/>
    <w:rPr>
      <w:rFonts w:eastAsiaTheme="majorEastAsia" w:cstheme="majorBidi"/>
      <w:color w:val="272727" w:themeColor="text1" w:themeTint="D8"/>
    </w:rPr>
  </w:style>
  <w:style w:type="paragraph" w:styleId="Title">
    <w:name w:val="Title"/>
    <w:basedOn w:val="Normal"/>
    <w:next w:val="Normal"/>
    <w:link w:val="TitleChar"/>
    <w:uiPriority w:val="10"/>
    <w:qFormat/>
    <w:rsid w:val="00915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4F"/>
    <w:pPr>
      <w:spacing w:before="160"/>
      <w:jc w:val="center"/>
    </w:pPr>
    <w:rPr>
      <w:i/>
      <w:iCs/>
      <w:color w:val="404040" w:themeColor="text1" w:themeTint="BF"/>
    </w:rPr>
  </w:style>
  <w:style w:type="character" w:customStyle="1" w:styleId="QuoteChar">
    <w:name w:val="Quote Char"/>
    <w:basedOn w:val="DefaultParagraphFont"/>
    <w:link w:val="Quote"/>
    <w:uiPriority w:val="29"/>
    <w:rsid w:val="0091574F"/>
    <w:rPr>
      <w:i/>
      <w:iCs/>
      <w:color w:val="404040" w:themeColor="text1" w:themeTint="BF"/>
    </w:rPr>
  </w:style>
  <w:style w:type="paragraph" w:styleId="ListParagraph">
    <w:name w:val="List Paragraph"/>
    <w:basedOn w:val="Normal"/>
    <w:uiPriority w:val="34"/>
    <w:qFormat/>
    <w:rsid w:val="0091574F"/>
    <w:pPr>
      <w:ind w:left="720"/>
      <w:contextualSpacing/>
    </w:pPr>
  </w:style>
  <w:style w:type="character" w:styleId="IntenseEmphasis">
    <w:name w:val="Intense Emphasis"/>
    <w:basedOn w:val="DefaultParagraphFont"/>
    <w:uiPriority w:val="21"/>
    <w:qFormat/>
    <w:rsid w:val="0091574F"/>
    <w:rPr>
      <w:i/>
      <w:iCs/>
      <w:color w:val="0F4761" w:themeColor="accent1" w:themeShade="BF"/>
    </w:rPr>
  </w:style>
  <w:style w:type="paragraph" w:styleId="IntenseQuote">
    <w:name w:val="Intense Quote"/>
    <w:basedOn w:val="Normal"/>
    <w:next w:val="Normal"/>
    <w:link w:val="IntenseQuoteChar"/>
    <w:uiPriority w:val="30"/>
    <w:qFormat/>
    <w:rsid w:val="009157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4F"/>
    <w:rPr>
      <w:i/>
      <w:iCs/>
      <w:color w:val="0F4761" w:themeColor="accent1" w:themeShade="BF"/>
    </w:rPr>
  </w:style>
  <w:style w:type="character" w:styleId="IntenseReference">
    <w:name w:val="Intense Reference"/>
    <w:basedOn w:val="DefaultParagraphFont"/>
    <w:uiPriority w:val="32"/>
    <w:qFormat/>
    <w:rsid w:val="009157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0077">
      <w:bodyDiv w:val="1"/>
      <w:marLeft w:val="0"/>
      <w:marRight w:val="0"/>
      <w:marTop w:val="0"/>
      <w:marBottom w:val="0"/>
      <w:divBdr>
        <w:top w:val="none" w:sz="0" w:space="0" w:color="auto"/>
        <w:left w:val="none" w:sz="0" w:space="0" w:color="auto"/>
        <w:bottom w:val="none" w:sz="0" w:space="0" w:color="auto"/>
        <w:right w:val="none" w:sz="0" w:space="0" w:color="auto"/>
      </w:divBdr>
    </w:div>
    <w:div w:id="12917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503</Words>
  <Characters>2929</Characters>
  <Application>Microsoft Office Word</Application>
  <DocSecurity>0</DocSecurity>
  <Lines>75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2025-04-22T18:50:00Z</dcterms:created>
  <dcterms:modified xsi:type="dcterms:W3CDTF">2025-04-22T19:22:00Z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f9cf57bf-0e3e-4202-917b-b2fe3592e7f4</vt:lpwstr>
  </property>
</Properties>
</file>